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9670" w14:textId="796056E1" w:rsidR="00C6416C" w:rsidRPr="009A75D7" w:rsidRDefault="00E9224F" w:rsidP="00640917">
      <w:pPr>
        <w:jc w:val="both"/>
        <w:rPr>
          <w:color w:val="5B9BD5" w:themeColor="accent1"/>
          <w:sz w:val="40"/>
          <w:szCs w:val="40"/>
        </w:rPr>
      </w:pPr>
      <w:r w:rsidRPr="009A75D7">
        <w:rPr>
          <w:color w:val="5B9BD5" w:themeColor="accent1"/>
          <w:sz w:val="40"/>
          <w:szCs w:val="40"/>
        </w:rPr>
        <w:t xml:space="preserve">Evalueringsdokument – </w:t>
      </w:r>
      <w:r w:rsidR="009A75D7" w:rsidRPr="009A75D7">
        <w:rPr>
          <w:color w:val="5B9BD5" w:themeColor="accent1"/>
          <w:sz w:val="40"/>
          <w:szCs w:val="40"/>
        </w:rPr>
        <w:t>gymnasieledelsernes</w:t>
      </w:r>
      <w:r w:rsidRPr="009A75D7">
        <w:rPr>
          <w:color w:val="5B9BD5" w:themeColor="accent1"/>
          <w:sz w:val="40"/>
          <w:szCs w:val="40"/>
        </w:rPr>
        <w:t xml:space="preserve"> perspektiv</w:t>
      </w:r>
    </w:p>
    <w:p w14:paraId="75A28E55" w14:textId="77777777" w:rsidR="003742FA" w:rsidRPr="005B5A9E" w:rsidRDefault="003742FA" w:rsidP="00640917">
      <w:pPr>
        <w:jc w:val="both"/>
        <w:rPr>
          <w:b/>
          <w:bCs/>
          <w:color w:val="5B9BD5" w:themeColor="accent1"/>
          <w:sz w:val="32"/>
          <w:szCs w:val="32"/>
        </w:rPr>
      </w:pPr>
      <w:r w:rsidRPr="005B5A9E">
        <w:rPr>
          <w:b/>
          <w:bCs/>
          <w:color w:val="5B9BD5" w:themeColor="accent1"/>
          <w:sz w:val="32"/>
          <w:szCs w:val="32"/>
        </w:rPr>
        <w:t>Projekt ”Ny Energi i Undervisningen”</w:t>
      </w:r>
    </w:p>
    <w:p w14:paraId="56408FA1" w14:textId="77777777" w:rsidR="0041641F" w:rsidRPr="005151F9" w:rsidRDefault="0041641F" w:rsidP="00640917">
      <w:pPr>
        <w:jc w:val="both"/>
        <w:rPr>
          <w:b/>
          <w:bCs/>
          <w:sz w:val="24"/>
          <w:szCs w:val="24"/>
        </w:rPr>
      </w:pPr>
    </w:p>
    <w:p w14:paraId="2F32FB6A" w14:textId="77777777" w:rsidR="002E17F3" w:rsidRPr="002E17F3" w:rsidRDefault="002E17F3" w:rsidP="002E17F3">
      <w:pPr>
        <w:jc w:val="both"/>
        <w:rPr>
          <w:color w:val="5B9BD5" w:themeColor="accent1"/>
          <w:sz w:val="32"/>
          <w:szCs w:val="32"/>
        </w:rPr>
      </w:pPr>
      <w:r w:rsidRPr="002E17F3">
        <w:rPr>
          <w:b/>
          <w:bCs/>
          <w:color w:val="5B9BD5" w:themeColor="accent1"/>
          <w:sz w:val="32"/>
          <w:szCs w:val="32"/>
        </w:rPr>
        <w:t>Uddannelsesledernes vurdering og forslag</w:t>
      </w:r>
    </w:p>
    <w:p w14:paraId="51E3D1F2" w14:textId="77777777" w:rsidR="002E17F3" w:rsidRPr="002E17F3" w:rsidRDefault="002E17F3" w:rsidP="002E17F3">
      <w:pPr>
        <w:jc w:val="both"/>
        <w:rPr>
          <w:sz w:val="24"/>
          <w:szCs w:val="24"/>
        </w:rPr>
      </w:pPr>
      <w:r w:rsidRPr="002E17F3">
        <w:rPr>
          <w:sz w:val="24"/>
          <w:szCs w:val="24"/>
        </w:rPr>
        <w:t xml:space="preserve">Uddannelseslederne på de fem gymnasier har fungeret som lokale projektkoordinatorer og været skolernes repræsentanter i styregruppen. </w:t>
      </w:r>
    </w:p>
    <w:p w14:paraId="2BFA12D9" w14:textId="77777777" w:rsidR="002E17F3" w:rsidRPr="002E17F3" w:rsidRDefault="002E17F3" w:rsidP="002E17F3">
      <w:pPr>
        <w:jc w:val="both"/>
        <w:rPr>
          <w:sz w:val="24"/>
          <w:szCs w:val="24"/>
        </w:rPr>
      </w:pPr>
      <w:r w:rsidRPr="002E17F3">
        <w:rPr>
          <w:sz w:val="24"/>
          <w:szCs w:val="24"/>
        </w:rPr>
        <w:t>De faglige og pædagogiske vurderinger og forslag fra lederne er ikke overraskende i vid udstrækning sammenfaldende med lærernes udsagn. Vi undlader derfor gentagelser og fokuserer på supplerende pointer set med ledelsesbriller.</w:t>
      </w:r>
    </w:p>
    <w:p w14:paraId="33B1D1D2" w14:textId="77777777" w:rsidR="002E17F3" w:rsidRPr="002E17F3" w:rsidRDefault="002E17F3" w:rsidP="002E17F3">
      <w:pPr>
        <w:jc w:val="both"/>
        <w:rPr>
          <w:sz w:val="24"/>
          <w:szCs w:val="24"/>
        </w:rPr>
      </w:pPr>
      <w:r w:rsidRPr="002E17F3">
        <w:rPr>
          <w:sz w:val="24"/>
          <w:szCs w:val="24"/>
        </w:rPr>
        <w:t>Lederne giver udtryk for stor tilfredshed med det tværgående samarbejde i projektets styregruppe. Udsættelserne som følge af COVID-perioden har selvfølgelig været en vanskelig faktor, men det er lykkedes at gennemføre projektet med god indfrielse af de ambitioner, skolerne i fællesskab formulerede i forbindelse med ansøgningen. Det gælder samarbejdet med BF, udarbejdelse af faglige undervisningsforløb inkl. opgaver og materialer, gennemførelse af et tilfredsstillende antal besøg, nye input og effekter i forhold til elevernes karrierelæring, det tværgående samarbejde mellem lærerne og udviklingen af et solidt grundlag for varigt samarbejde mellem skolerne og BF/forsyningsområdet.</w:t>
      </w:r>
    </w:p>
    <w:p w14:paraId="47CB279A" w14:textId="77777777" w:rsidR="002E17F3" w:rsidRPr="002E17F3" w:rsidRDefault="002E17F3" w:rsidP="002E17F3">
      <w:pPr>
        <w:jc w:val="both"/>
        <w:rPr>
          <w:sz w:val="24"/>
          <w:szCs w:val="24"/>
        </w:rPr>
      </w:pPr>
      <w:r w:rsidRPr="002E17F3">
        <w:rPr>
          <w:sz w:val="24"/>
          <w:szCs w:val="24"/>
        </w:rPr>
        <w:t>Lederne lægger i evalueringen særlig vægt på:</w:t>
      </w:r>
    </w:p>
    <w:p w14:paraId="57BB0F44" w14:textId="77777777" w:rsidR="002E17F3" w:rsidRPr="002E17F3" w:rsidRDefault="002E17F3" w:rsidP="002E17F3">
      <w:pPr>
        <w:numPr>
          <w:ilvl w:val="0"/>
          <w:numId w:val="4"/>
        </w:numPr>
        <w:jc w:val="both"/>
        <w:rPr>
          <w:sz w:val="24"/>
          <w:szCs w:val="24"/>
        </w:rPr>
      </w:pPr>
      <w:r w:rsidRPr="002E17F3">
        <w:rPr>
          <w:sz w:val="24"/>
          <w:szCs w:val="24"/>
        </w:rPr>
        <w:t>Projektet som en udviklingsorienteret ramme om tværgående samarbejde på et fagligt område med meget højaktuel samfundsrelevans.</w:t>
      </w:r>
    </w:p>
    <w:p w14:paraId="3E45991E" w14:textId="77777777" w:rsidR="002E17F3" w:rsidRPr="002E17F3" w:rsidRDefault="002E17F3" w:rsidP="002E17F3">
      <w:pPr>
        <w:numPr>
          <w:ilvl w:val="0"/>
          <w:numId w:val="4"/>
        </w:numPr>
        <w:jc w:val="both"/>
        <w:rPr>
          <w:sz w:val="24"/>
          <w:szCs w:val="24"/>
        </w:rPr>
      </w:pPr>
      <w:r w:rsidRPr="002E17F3">
        <w:rPr>
          <w:sz w:val="24"/>
          <w:szCs w:val="24"/>
        </w:rPr>
        <w:t>Værdifuld erfaring med en ny mulighed for eksternt samarbejde med en meget engageret og relevant forsyningsvirksomhed, som har prioriteret ressourcer til et udadvendt og veludstyret energilaboratorium og til omfattende formidlingsaktiviteter rettet mod bl.a. ungdomsuddannelserne.</w:t>
      </w:r>
    </w:p>
    <w:p w14:paraId="0F0FDF94" w14:textId="77777777" w:rsidR="002E17F3" w:rsidRPr="002E17F3" w:rsidRDefault="002E17F3" w:rsidP="002E17F3">
      <w:pPr>
        <w:numPr>
          <w:ilvl w:val="0"/>
          <w:numId w:val="4"/>
        </w:numPr>
        <w:jc w:val="both"/>
        <w:rPr>
          <w:sz w:val="24"/>
          <w:szCs w:val="24"/>
        </w:rPr>
      </w:pPr>
      <w:r w:rsidRPr="002E17F3">
        <w:rPr>
          <w:sz w:val="24"/>
          <w:szCs w:val="24"/>
        </w:rPr>
        <w:t>At projektet har stimuleret motivation og viden i lærergrupperne mht. udadvendt samarbejde og læring ”uden for murene”.</w:t>
      </w:r>
    </w:p>
    <w:p w14:paraId="6F00F5C6" w14:textId="77777777" w:rsidR="002E17F3" w:rsidRPr="002E17F3" w:rsidRDefault="002E17F3" w:rsidP="002E17F3">
      <w:pPr>
        <w:numPr>
          <w:ilvl w:val="0"/>
          <w:numId w:val="4"/>
        </w:numPr>
        <w:jc w:val="both"/>
        <w:rPr>
          <w:sz w:val="24"/>
          <w:szCs w:val="24"/>
        </w:rPr>
      </w:pPr>
      <w:r w:rsidRPr="002E17F3">
        <w:rPr>
          <w:sz w:val="24"/>
          <w:szCs w:val="24"/>
        </w:rPr>
        <w:t>Mulighederne for varigt samarbejde i regi af ”Foreningen Energilaboratoriet”, som nu er langt bedre funderet end ved projektets begyndelse.</w:t>
      </w:r>
    </w:p>
    <w:p w14:paraId="12E191F0" w14:textId="77777777" w:rsidR="002E17F3" w:rsidRPr="002E17F3" w:rsidRDefault="002E17F3" w:rsidP="002E17F3">
      <w:pPr>
        <w:numPr>
          <w:ilvl w:val="0"/>
          <w:numId w:val="4"/>
        </w:numPr>
        <w:jc w:val="both"/>
        <w:rPr>
          <w:sz w:val="24"/>
          <w:szCs w:val="24"/>
        </w:rPr>
      </w:pPr>
      <w:r w:rsidRPr="002E17F3">
        <w:rPr>
          <w:sz w:val="24"/>
          <w:szCs w:val="24"/>
        </w:rPr>
        <w:t>At der er skabt en tradition for en lokal Science Dyst.</w:t>
      </w:r>
    </w:p>
    <w:p w14:paraId="72A851F7" w14:textId="77777777" w:rsidR="002E17F3" w:rsidRPr="002E17F3" w:rsidRDefault="002E17F3" w:rsidP="002E17F3">
      <w:pPr>
        <w:numPr>
          <w:ilvl w:val="0"/>
          <w:numId w:val="4"/>
        </w:numPr>
        <w:jc w:val="both"/>
        <w:rPr>
          <w:sz w:val="24"/>
          <w:szCs w:val="24"/>
        </w:rPr>
      </w:pPr>
      <w:r w:rsidRPr="002E17F3">
        <w:rPr>
          <w:sz w:val="24"/>
          <w:szCs w:val="24"/>
        </w:rPr>
        <w:t>At der er opnået øget viden om BF som et offentligt ejet energiselskab, som har andre mål end en privat virksomhed, herunder at tage initiativ til og indgå i oplysningsvirksomhed sammen med bl.a. ungdomsuddannelserne.</w:t>
      </w:r>
    </w:p>
    <w:p w14:paraId="3E5D7042" w14:textId="77777777" w:rsidR="002E17F3" w:rsidRPr="002E17F3" w:rsidRDefault="002E17F3" w:rsidP="002E17F3">
      <w:pPr>
        <w:numPr>
          <w:ilvl w:val="0"/>
          <w:numId w:val="4"/>
        </w:numPr>
        <w:jc w:val="both"/>
        <w:rPr>
          <w:sz w:val="24"/>
          <w:szCs w:val="24"/>
        </w:rPr>
      </w:pPr>
      <w:r w:rsidRPr="002E17F3">
        <w:rPr>
          <w:sz w:val="24"/>
          <w:szCs w:val="24"/>
        </w:rPr>
        <w:lastRenderedPageBreak/>
        <w:t>Nem adgang til oplysninger om samarbejdsmuligheder publiceret på BF’s hjemmeside (besøgskoncepter, samarbejde om SRP, Science Dysten mv).</w:t>
      </w:r>
    </w:p>
    <w:p w14:paraId="21A873D0" w14:textId="77777777" w:rsidR="002E17F3" w:rsidRPr="002E17F3" w:rsidRDefault="002E17F3" w:rsidP="002E17F3">
      <w:pPr>
        <w:numPr>
          <w:ilvl w:val="0"/>
          <w:numId w:val="4"/>
        </w:numPr>
        <w:jc w:val="both"/>
        <w:rPr>
          <w:sz w:val="24"/>
          <w:szCs w:val="24"/>
        </w:rPr>
      </w:pPr>
      <w:r w:rsidRPr="002E17F3">
        <w:rPr>
          <w:sz w:val="24"/>
          <w:szCs w:val="24"/>
        </w:rPr>
        <w:t>Fortsat tilgængelighed til undervisningsmaterialer, udstyrsoversigter, forsøgsmuligheder o.l. på BF’s hjemmeside (for at styrke tværgående videndeling og videreudvikling af Energilaboratoriet).</w:t>
      </w:r>
    </w:p>
    <w:p w14:paraId="566FB240" w14:textId="77777777" w:rsidR="002E17F3" w:rsidRPr="002E17F3" w:rsidRDefault="002E17F3" w:rsidP="002E17F3">
      <w:pPr>
        <w:numPr>
          <w:ilvl w:val="0"/>
          <w:numId w:val="4"/>
        </w:numPr>
        <w:jc w:val="both"/>
        <w:rPr>
          <w:sz w:val="24"/>
          <w:szCs w:val="24"/>
        </w:rPr>
      </w:pPr>
      <w:r w:rsidRPr="002E17F3">
        <w:rPr>
          <w:sz w:val="24"/>
          <w:szCs w:val="24"/>
        </w:rPr>
        <w:t>At Brønderslev og Nordjylland ”er kommet lidt mere på landkortet”</w:t>
      </w:r>
    </w:p>
    <w:p w14:paraId="53683706" w14:textId="77777777" w:rsidR="002E17F3" w:rsidRDefault="002E17F3" w:rsidP="002E17F3">
      <w:pPr>
        <w:numPr>
          <w:ilvl w:val="0"/>
          <w:numId w:val="4"/>
        </w:numPr>
        <w:jc w:val="both"/>
        <w:rPr>
          <w:sz w:val="24"/>
          <w:szCs w:val="24"/>
        </w:rPr>
      </w:pPr>
      <w:r w:rsidRPr="002E17F3">
        <w:rPr>
          <w:sz w:val="24"/>
          <w:szCs w:val="24"/>
        </w:rPr>
        <w:t>Muligheden for at inddrage universitetet i fortsat samarbejde.</w:t>
      </w:r>
    </w:p>
    <w:p w14:paraId="24B04ACB" w14:textId="5E6492FF" w:rsidR="00AE1F0C" w:rsidRPr="00AE1F0C" w:rsidRDefault="002E17F3" w:rsidP="002E17F3">
      <w:pPr>
        <w:numPr>
          <w:ilvl w:val="0"/>
          <w:numId w:val="4"/>
        </w:numPr>
        <w:jc w:val="both"/>
        <w:rPr>
          <w:sz w:val="24"/>
          <w:szCs w:val="24"/>
        </w:rPr>
      </w:pPr>
      <w:r w:rsidRPr="002E17F3">
        <w:rPr>
          <w:sz w:val="24"/>
          <w:szCs w:val="24"/>
        </w:rPr>
        <w:t>At brobygning til folkeskolerne har været og fortsat kan være et element.</w:t>
      </w:r>
    </w:p>
    <w:p w14:paraId="6AA15122" w14:textId="4FEA7123" w:rsidR="00233BA0" w:rsidRPr="005151F9" w:rsidRDefault="00233BA0" w:rsidP="00640917">
      <w:pPr>
        <w:jc w:val="both"/>
        <w:rPr>
          <w:sz w:val="24"/>
          <w:szCs w:val="24"/>
        </w:rPr>
      </w:pPr>
    </w:p>
    <w:sectPr w:rsidR="00233BA0" w:rsidRPr="005151F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A205" w14:textId="77777777" w:rsidR="00640917" w:rsidRDefault="00640917" w:rsidP="00640917">
      <w:pPr>
        <w:spacing w:after="0" w:line="240" w:lineRule="auto"/>
      </w:pPr>
      <w:r>
        <w:separator/>
      </w:r>
    </w:p>
  </w:endnote>
  <w:endnote w:type="continuationSeparator" w:id="0">
    <w:p w14:paraId="5F407CFF" w14:textId="77777777" w:rsidR="00640917" w:rsidRDefault="00640917" w:rsidP="0064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80BB" w14:textId="5A309363" w:rsidR="001676CB" w:rsidRDefault="001676CB">
    <w:pPr>
      <w:pStyle w:val="Sidefod"/>
    </w:pPr>
    <w:r>
      <w:rPr>
        <w:noProof/>
      </w:rPr>
      <w:drawing>
        <wp:inline distT="0" distB="0" distL="0" distR="0" wp14:anchorId="14932CFC" wp14:editId="2FE58A83">
          <wp:extent cx="6272794" cy="771896"/>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32756" cy="779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1BAE" w14:textId="77777777" w:rsidR="00640917" w:rsidRDefault="00640917" w:rsidP="00640917">
      <w:pPr>
        <w:spacing w:after="0" w:line="240" w:lineRule="auto"/>
      </w:pPr>
      <w:r>
        <w:separator/>
      </w:r>
    </w:p>
  </w:footnote>
  <w:footnote w:type="continuationSeparator" w:id="0">
    <w:p w14:paraId="7E1E1231" w14:textId="77777777" w:rsidR="00640917" w:rsidRDefault="00640917" w:rsidP="0064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5ADE" w14:textId="1DF9AA7C" w:rsidR="00640917" w:rsidRDefault="00640917">
    <w:pPr>
      <w:pStyle w:val="Sidehoved"/>
    </w:pPr>
    <w:r>
      <w:rPr>
        <w:rFonts w:ascii="Arial" w:hAnsi="Arial" w:cs="Arial"/>
        <w:noProof/>
        <w:color w:val="00008B"/>
        <w:sz w:val="20"/>
        <w:szCs w:val="20"/>
        <w:lang w:val="en-US"/>
      </w:rPr>
      <w:drawing>
        <wp:anchor distT="0" distB="0" distL="114300" distR="114300" simplePos="0" relativeHeight="251659264" behindDoc="0" locked="0" layoutInCell="1" allowOverlap="1" wp14:anchorId="0E0E1684" wp14:editId="47756178">
          <wp:simplePos x="0" y="0"/>
          <wp:positionH relativeFrom="margin">
            <wp:align>right</wp:align>
          </wp:positionH>
          <wp:positionV relativeFrom="paragraph">
            <wp:posOffset>-166370</wp:posOffset>
          </wp:positionV>
          <wp:extent cx="1418400" cy="55440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55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430"/>
    <w:multiLevelType w:val="hybridMultilevel"/>
    <w:tmpl w:val="1A684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6B0439"/>
    <w:multiLevelType w:val="hybridMultilevel"/>
    <w:tmpl w:val="5FDE3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744E69"/>
    <w:multiLevelType w:val="hybridMultilevel"/>
    <w:tmpl w:val="9C0AC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D85658F"/>
    <w:multiLevelType w:val="hybridMultilevel"/>
    <w:tmpl w:val="E0862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10496425">
    <w:abstractNumId w:val="1"/>
  </w:num>
  <w:num w:numId="2" w16cid:durableId="671569127">
    <w:abstractNumId w:val="0"/>
  </w:num>
  <w:num w:numId="3" w16cid:durableId="1374385211">
    <w:abstractNumId w:val="3"/>
  </w:num>
  <w:num w:numId="4" w16cid:durableId="1200825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4F"/>
    <w:rsid w:val="000D5F85"/>
    <w:rsid w:val="001676CB"/>
    <w:rsid w:val="00187D86"/>
    <w:rsid w:val="00233BA0"/>
    <w:rsid w:val="002E17F3"/>
    <w:rsid w:val="003742FA"/>
    <w:rsid w:val="0041641F"/>
    <w:rsid w:val="005151F9"/>
    <w:rsid w:val="005B5A9E"/>
    <w:rsid w:val="00640917"/>
    <w:rsid w:val="006C5E21"/>
    <w:rsid w:val="00852C68"/>
    <w:rsid w:val="008B1103"/>
    <w:rsid w:val="009A75D7"/>
    <w:rsid w:val="009B5507"/>
    <w:rsid w:val="00AE1F0C"/>
    <w:rsid w:val="00B516BA"/>
    <w:rsid w:val="00B710ED"/>
    <w:rsid w:val="00BD687E"/>
    <w:rsid w:val="00C569BD"/>
    <w:rsid w:val="00C6416C"/>
    <w:rsid w:val="00CA0AB4"/>
    <w:rsid w:val="00DF64C2"/>
    <w:rsid w:val="00E922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94FA"/>
  <w15:chartTrackingRefBased/>
  <w15:docId w15:val="{FB1515D5-2165-497D-B9FE-E80C118E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409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40917"/>
  </w:style>
  <w:style w:type="paragraph" w:styleId="Sidefod">
    <w:name w:val="footer"/>
    <w:basedOn w:val="Normal"/>
    <w:link w:val="SidefodTegn"/>
    <w:uiPriority w:val="99"/>
    <w:unhideWhenUsed/>
    <w:rsid w:val="006409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4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BCDFB75377774797E8CC5543E06C03" ma:contentTypeVersion="4" ma:contentTypeDescription="Opret et nyt dokument." ma:contentTypeScope="" ma:versionID="16b7d9515d40eca210b7df87c1dcb9f5">
  <xsd:schema xmlns:xsd="http://www.w3.org/2001/XMLSchema" xmlns:xs="http://www.w3.org/2001/XMLSchema" xmlns:p="http://schemas.microsoft.com/office/2006/metadata/properties" xmlns:ns2="0e6a8d97-a152-40ca-a213-ebded5cb3856" targetNamespace="http://schemas.microsoft.com/office/2006/metadata/properties" ma:root="true" ma:fieldsID="08e6113ae066db2a4c36ee723757c553" ns2:_="">
    <xsd:import namespace="0e6a8d97-a152-40ca-a213-ebded5cb38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8d97-a152-40ca-a213-ebded5cb3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77E8F-27C0-46CA-8526-3E0523660C58}"/>
</file>

<file path=customXml/itemProps2.xml><?xml version="1.0" encoding="utf-8"?>
<ds:datastoreItem xmlns:ds="http://schemas.openxmlformats.org/officeDocument/2006/customXml" ds:itemID="{32ACA297-2936-4449-A339-68CA196E40FD}"/>
</file>

<file path=customXml/itemProps3.xml><?xml version="1.0" encoding="utf-8"?>
<ds:datastoreItem xmlns:ds="http://schemas.openxmlformats.org/officeDocument/2006/customXml" ds:itemID="{5768F2C3-1739-4DEF-97FA-A34C77348D76}"/>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2327</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Kveiborg</dc:creator>
  <cp:keywords/>
  <dc:description/>
  <cp:lastModifiedBy>Søren Kveiborg</cp:lastModifiedBy>
  <cp:revision>5</cp:revision>
  <dcterms:created xsi:type="dcterms:W3CDTF">2022-05-30T14:32:00Z</dcterms:created>
  <dcterms:modified xsi:type="dcterms:W3CDTF">2022-05-30T14:33:00Z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0x0101006DBCDFB75377774797E8CC5543E06C03</vt:lpwstr>
  </property>
</Properties>
</file>